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3" w:name="notas-internas-estratégia-de-litígio"/>
    <w:p>
      <w:pPr>
        <w:pStyle w:val="Heading2"/>
      </w:pPr>
      <w:r>
        <w:t xml:space="preserve">Notas Internas – Estratégia de Litígio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2024/1234/5.5T8LSB –</w:t>
      </w:r>
      <w:r>
        <w:t xml:space="preserve"> </w:t>
      </w:r>
      <w:r>
        <w:rPr>
          <w:i/>
          <w:iCs/>
        </w:rPr>
        <w:t xml:space="preserve">Processo Especial de Despejo – Arrendamento Comercial – Falta de Pagamento e Caducidade Contratual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Empresa de Arrendamento Comercial, Lda. (NIF 508 123 456)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Sr. João da Silva (NIF 213 987 654)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 Ana Martins (OA 12345) – Sócia‑Fundadora; Dr. Luís Pereira (OA 67890) – Sócio‑Júnior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Juiz de Direito da Vara Cível de Lisboa</w:t>
      </w:r>
      <w:r>
        <w:br/>
      </w:r>
      <w:r>
        <w:rPr>
          <w:b/>
          <w:bCs/>
        </w:rPr>
        <w:t xml:space="preserve">Data:</w:t>
      </w:r>
      <w:r>
        <w:t xml:space="preserve"> </w:t>
      </w:r>
      <w:r>
        <w:t xml:space="preserve">15 de março de 2024</w:t>
      </w:r>
    </w:p>
    <w:p>
      <w:r>
        <w:pict>
          <v:rect style="width:0;height:1.5pt" o:hralign="center" o:hrstd="t" o:hr="t"/>
        </w:pict>
      </w:r>
    </w:p>
    <w:bookmarkStart w:id="9" w:name="objetivo-da-nota-interna"/>
    <w:p>
      <w:pPr>
        <w:pStyle w:val="Heading3"/>
      </w:pPr>
      <w:r>
        <w:t xml:space="preserve">1. Objetivo da Nota Interna</w:t>
      </w:r>
    </w:p>
    <w:p>
      <w:pPr>
        <w:pStyle w:val="FirstParagraph"/>
      </w:pPr>
      <w:r>
        <w:t xml:space="preserve">Documentar, de forma clara e estruturada, a</w:t>
      </w:r>
      <w:r>
        <w:t xml:space="preserve"> </w:t>
      </w:r>
      <w:r>
        <w:rPr>
          <w:b/>
          <w:bCs/>
        </w:rPr>
        <w:t xml:space="preserve">estratégia jurídica</w:t>
      </w:r>
      <w:r>
        <w:t xml:space="preserve"> </w:t>
      </w:r>
      <w:r>
        <w:t xml:space="preserve">a ser adotada pela equipa da Empresa de Arrendamento Comercial, Lda. no âmbito do processo de despejo e indemnização contra o Sr. João da Silva, bem como definir responsabilidades, cronograma e pontos críticos a monitorizar.</w:t>
      </w:r>
    </w:p>
    <w:p>
      <w:r>
        <w:pict>
          <v:rect style="width:0;height:1.5pt" o:hralign="center" o:hrstd="t" o:hr="t"/>
        </w:pict>
      </w:r>
    </w:p>
    <w:bookmarkEnd w:id="9"/>
    <w:bookmarkStart w:id="10" w:name="síntese-dos-factos-relevantes"/>
    <w:p>
      <w:pPr>
        <w:pStyle w:val="Heading3"/>
      </w:pPr>
      <w:r>
        <w:t xml:space="preserve">2. Síntese dos Factos Relevantes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40"/>
        <w:gridCol w:w="3520"/>
        <w:gridCol w:w="28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Facto</w:t>
            </w:r>
          </w:p>
        </w:tc>
        <w:tc>
          <w:tcPr/>
          <w:p>
            <w:pPr>
              <w:pStyle w:val="Compact"/>
            </w:pPr>
            <w:r>
              <w:t xml:space="preserve">Data / Período</w:t>
            </w:r>
          </w:p>
        </w:tc>
        <w:tc>
          <w:tcPr/>
          <w:p>
            <w:pPr>
              <w:pStyle w:val="Compact"/>
            </w:pPr>
            <w:r>
              <w:t xml:space="preserve">Observações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Início do contrato de arrendamento</w:t>
            </w:r>
          </w:p>
        </w:tc>
        <w:tc>
          <w:tcPr/>
          <w:p>
            <w:pPr>
              <w:pStyle w:val="Compact"/>
            </w:pPr>
            <w:r>
              <w:t xml:space="preserve">1 de junho de 2020</w:t>
            </w:r>
          </w:p>
        </w:tc>
        <w:tc>
          <w:tcPr/>
          <w:p>
            <w:pPr>
              <w:pStyle w:val="Compact"/>
            </w:pPr>
            <w:r>
              <w:t xml:space="preserve">Contrato nº 2020/06/001, prazo de 5 anos, cláusula de caducidade automática após 3 meses de mora.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Primeiro incumprimento de pagamento</w:t>
            </w:r>
          </w:p>
        </w:tc>
        <w:tc>
          <w:tcPr/>
          <w:p>
            <w:pPr>
              <w:pStyle w:val="Compact"/>
            </w:pPr>
            <w:r>
              <w:t xml:space="preserve">1 de julho de 2023</w:t>
            </w:r>
          </w:p>
        </w:tc>
        <w:tc>
          <w:tcPr/>
          <w:p>
            <w:pPr>
              <w:pStyle w:val="Compact"/>
            </w:pPr>
            <w:r>
              <w:t xml:space="preserve">Renda mensal € 4 500, vencimento a 5.º dia útil do mês.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Meses em dívida</w:t>
            </w:r>
          </w:p>
        </w:tc>
        <w:tc>
          <w:tcPr/>
          <w:p>
            <w:pPr>
              <w:pStyle w:val="Compact"/>
            </w:pPr>
            <w:r>
              <w:t xml:space="preserve">Julho a fevereiro de 2024 (8 meses)</w:t>
            </w:r>
          </w:p>
        </w:tc>
        <w:tc>
          <w:tcPr/>
          <w:p>
            <w:pPr>
              <w:pStyle w:val="Compact"/>
            </w:pPr>
            <w:r>
              <w:t xml:space="preserve">Total em dívida:</w:t>
            </w:r>
            <w:r>
              <w:t xml:space="preserve"> </w:t>
            </w:r>
            <w:r>
              <w:rPr>
                <w:b/>
                <w:bCs/>
              </w:rPr>
              <w:t xml:space="preserve">€ 36 000</w:t>
            </w:r>
            <w:r>
              <w:t xml:space="preserve"> </w:t>
            </w:r>
            <w:r>
              <w:t xml:space="preserve">(sem juros).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Obras não autorizadas</w:t>
            </w:r>
          </w:p>
        </w:tc>
        <w:tc>
          <w:tcPr/>
          <w:p>
            <w:pPr>
              <w:pStyle w:val="Compact"/>
            </w:pPr>
            <w:r>
              <w:t xml:space="preserve">15 de setembro de 2023 – 10 de outubro de 2023</w:t>
            </w:r>
          </w:p>
        </w:tc>
        <w:tc>
          <w:tcPr/>
          <w:p>
            <w:pPr>
              <w:pStyle w:val="Compact"/>
            </w:pPr>
            <w:r>
              <w:t xml:space="preserve">Alteração da fachada e instalação de divisórias internas, custos estimados em</w:t>
            </w:r>
            <w:r>
              <w:t xml:space="preserve"> </w:t>
            </w:r>
            <w:r>
              <w:rPr>
                <w:b/>
                <w:bCs/>
              </w:rPr>
              <w:t xml:space="preserve">€ 12 500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Notificação de caducidade</w:t>
            </w:r>
          </w:p>
        </w:tc>
        <w:tc>
          <w:tcPr/>
          <w:p>
            <w:pPr>
              <w:pStyle w:val="Compact"/>
            </w:pPr>
            <w:r>
              <w:t xml:space="preserve">20 de fevereiro de 2024</w:t>
            </w:r>
          </w:p>
        </w:tc>
        <w:tc>
          <w:tcPr/>
          <w:p>
            <w:pPr>
              <w:pStyle w:val="Compact"/>
            </w:pPr>
            <w:r>
              <w:t xml:space="preserve">Carta registada com aviso de 15 dias, sem resposta do réu.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Ação judicial proposta</w:t>
            </w:r>
          </w:p>
        </w:tc>
        <w:tc>
          <w:tcPr/>
          <w:p>
            <w:pPr>
              <w:pStyle w:val="Compact"/>
            </w:pPr>
            <w:r>
              <w:t xml:space="preserve">12 de março de 2024</w:t>
            </w:r>
          </w:p>
        </w:tc>
        <w:tc>
          <w:tcPr/>
          <w:p>
            <w:pPr>
              <w:pStyle w:val="Compact"/>
            </w:pPr>
            <w:r>
              <w:t xml:space="preserve">Petição inicial apresentada ao Juízo da Vara Cível de Lisboa.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fundamentação-jurídica"/>
    <w:p>
      <w:pPr>
        <w:pStyle w:val="Heading3"/>
      </w:pPr>
      <w:r>
        <w:t xml:space="preserve">3. Fundamentação Jurídica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159"/>
        <w:gridCol w:w="3090"/>
        <w:gridCol w:w="367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Tema</w:t>
            </w:r>
          </w:p>
        </w:tc>
        <w:tc>
          <w:tcPr/>
          <w:p>
            <w:pPr>
              <w:pStyle w:val="Compact"/>
            </w:pPr>
            <w:r>
              <w:t xml:space="preserve">Artigos / Norma</w:t>
            </w:r>
          </w:p>
        </w:tc>
        <w:tc>
          <w:tcPr/>
          <w:p>
            <w:pPr>
              <w:pStyle w:val="Compact"/>
            </w:pPr>
            <w:r>
              <w:t xml:space="preserve">Aplicação ao caso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Caducidade do contrato</w:t>
            </w:r>
          </w:p>
        </w:tc>
        <w:tc>
          <w:tcPr/>
          <w:p>
            <w:pPr>
              <w:pStyle w:val="Compact"/>
            </w:pPr>
            <w:r>
              <w:t xml:space="preserve">Art.º 1073.º, n.º 2 do Código Civil</w:t>
            </w:r>
          </w:p>
        </w:tc>
        <w:tc>
          <w:tcPr/>
          <w:p>
            <w:pPr>
              <w:pStyle w:val="Compact"/>
            </w:pPr>
            <w:r>
              <w:t xml:space="preserve">O réu está em mora superior a 3 meses, legitimando a caducidade automática.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Despejo</w:t>
            </w:r>
          </w:p>
        </w:tc>
        <w:tc>
          <w:tcPr/>
          <w:p>
            <w:pPr>
              <w:pStyle w:val="Compact"/>
            </w:pPr>
            <w:r>
              <w:t xml:space="preserve">Art.º 1085.º, n.º 1 do Código de Processo Civil (CPC)</w:t>
            </w:r>
          </w:p>
        </w:tc>
        <w:tc>
          <w:tcPr/>
          <w:p>
            <w:pPr>
              <w:pStyle w:val="Compact"/>
            </w:pPr>
            <w:r>
              <w:t xml:space="preserve">Pedido de despejo imediato por incumprimento de obrigação contratual.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Cobrança de rendas em dívida + juros</w:t>
            </w:r>
          </w:p>
        </w:tc>
        <w:tc>
          <w:tcPr/>
          <w:p>
            <w:pPr>
              <w:pStyle w:val="Compact"/>
            </w:pPr>
            <w:r>
              <w:t xml:space="preserve">Art.º 408.º do Código Civil (juros moratórios a 4 % ao ano)</w:t>
            </w:r>
          </w:p>
        </w:tc>
        <w:tc>
          <w:tcPr/>
          <w:p>
            <w:pPr>
              <w:pStyle w:val="Compact"/>
            </w:pPr>
            <w:r>
              <w:t xml:space="preserve">Cálculo de € 36 000 + juros a partir de 5 de julho de 2023.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Indemnização por obras não autorizadas</w:t>
            </w:r>
          </w:p>
        </w:tc>
        <w:tc>
          <w:tcPr/>
          <w:p>
            <w:pPr>
              <w:pStyle w:val="Compact"/>
            </w:pPr>
            <w:r>
              <w:t xml:space="preserve">Art.º 483.º do Código Civil (responsabilidade por atos ilícitos)</w:t>
            </w:r>
          </w:p>
        </w:tc>
        <w:tc>
          <w:tcPr/>
          <w:p>
            <w:pPr>
              <w:pStyle w:val="Compact"/>
            </w:pPr>
            <w:r>
              <w:t xml:space="preserve">Reembolso de € 12 500 + danos emergentes e lucros cessantes.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Custas processuais e honorários</w:t>
            </w:r>
          </w:p>
        </w:tc>
        <w:tc>
          <w:tcPr/>
          <w:p>
            <w:pPr>
              <w:pStyle w:val="Compact"/>
            </w:pPr>
            <w:r>
              <w:t xml:space="preserve">Art.º 84.º do CPC</w:t>
            </w:r>
          </w:p>
        </w:tc>
        <w:tc>
          <w:tcPr/>
          <w:p>
            <w:pPr>
              <w:pStyle w:val="Compact"/>
            </w:pPr>
            <w:r>
              <w:t xml:space="preserve">Pedido de condenação do réu ao pagamento das custas e honorários.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7" w:name="estratégia-de-litígio"/>
    <w:p>
      <w:pPr>
        <w:pStyle w:val="Heading3"/>
      </w:pPr>
      <w:r>
        <w:t xml:space="preserve">4. Estratégia de Litígio</w:t>
      </w:r>
    </w:p>
    <w:bookmarkStart w:id="12" w:name="Xd05cfc660b82702269505d731fe64108d836987"/>
    <w:p>
      <w:pPr>
        <w:pStyle w:val="Heading4"/>
      </w:pPr>
      <w:r>
        <w:t xml:space="preserve">4.1 Fase I – Preparação da Petição Inicial (até 20 março de 2024)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262"/>
        <w:gridCol w:w="3677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Tarefa</w:t>
            </w:r>
          </w:p>
        </w:tc>
        <w:tc>
          <w:tcPr/>
          <w:p>
            <w:pPr>
              <w:pStyle w:val="Compact"/>
            </w:pPr>
            <w:r>
              <w:t xml:space="preserve">Responsável</w:t>
            </w:r>
          </w:p>
        </w:tc>
        <w:tc>
          <w:tcPr/>
          <w:p>
            <w:pPr>
              <w:pStyle w:val="Compact"/>
            </w:pPr>
            <w:r>
              <w:t xml:space="preserve">Prazo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Revisão documental (contrato, recibos, notificações, orçamentos de obras)</w:t>
            </w:r>
          </w:p>
        </w:tc>
        <w:tc>
          <w:tcPr/>
          <w:p>
            <w:pPr>
              <w:pStyle w:val="Compact"/>
            </w:pPr>
            <w:r>
              <w:t xml:space="preserve">Dr. Ana Martins</w:t>
            </w:r>
          </w:p>
        </w:tc>
        <w:tc>
          <w:tcPr/>
          <w:p>
            <w:pPr>
              <w:pStyle w:val="Compact"/>
            </w:pPr>
            <w:r>
              <w:t xml:space="preserve">2 dias</w:t>
            </w:r>
          </w:p>
        </w:tc>
      </w:tr>
      <w:tr>
        <w:tc>
          <w:tcPr/>
          <w:p>
            <w:pPr>
              <w:pStyle w:val="Compact"/>
            </w:pPr>
            <w:r>
              <w:t xml:space="preserve">Cálculo de juros e atualização monetária</w:t>
            </w:r>
          </w:p>
        </w:tc>
        <w:tc>
          <w:tcPr/>
          <w:p>
            <w:pPr>
              <w:pStyle w:val="Compact"/>
            </w:pPr>
            <w:r>
              <w:t xml:space="preserve">Dr. Luís Pereira</w:t>
            </w:r>
          </w:p>
        </w:tc>
        <w:tc>
          <w:tcPr/>
          <w:p>
            <w:pPr>
              <w:pStyle w:val="Compact"/>
            </w:pPr>
            <w:r>
              <w:t xml:space="preserve">3 dias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Redação e controlo de qualidade da petição</w:t>
            </w:r>
          </w:p>
        </w:tc>
        <w:tc>
          <w:tcPr/>
          <w:p>
            <w:pPr>
              <w:pStyle w:val="Compact"/>
            </w:pPr>
            <w:r>
              <w:t xml:space="preserve">Ambos os mandatários</w:t>
            </w:r>
          </w:p>
        </w:tc>
        <w:tc>
          <w:tcPr/>
          <w:p>
            <w:pPr>
              <w:pStyle w:val="Compact"/>
            </w:pPr>
            <w:r>
              <w:t xml:space="preserve">5 dias</w:t>
            </w:r>
          </w:p>
        </w:tc>
      </w:tr>
      <w:tr>
        <w:tc>
          <w:tcPr/>
          <w:p>
            <w:pPr>
              <w:pStyle w:val="Compact"/>
            </w:pPr>
            <w:r>
              <w:t xml:space="preserve">Submissão ao Juízo e protocolo</w:t>
            </w:r>
          </w:p>
        </w:tc>
        <w:tc>
          <w:tcPr/>
          <w:p>
            <w:pPr>
              <w:pStyle w:val="Compact"/>
            </w:pPr>
            <w:r>
              <w:t xml:space="preserve">Assistente jurídico (M. Santos)</w:t>
            </w:r>
          </w:p>
        </w:tc>
        <w:tc>
          <w:tcPr/>
          <w:p>
            <w:pPr>
              <w:pStyle w:val="Compact"/>
            </w:pPr>
            <w:r>
              <w:t xml:space="preserve">20 março de 2024</w:t>
            </w:r>
          </w:p>
        </w:tc>
      </w:tr>
    </w:tbl>
    <w:bookmarkEnd w:id="12"/>
    <w:bookmarkStart w:id="13" w:name="X8cf8abf51f665236f07480e32be0fb62193552b"/>
    <w:p>
      <w:pPr>
        <w:pStyle w:val="Heading4"/>
      </w:pPr>
      <w:r>
        <w:t xml:space="preserve">4.2 Fase II – Produção de Provas (abril – maio de 2024)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Provas documentais</w:t>
      </w:r>
      <w:r>
        <w:t xml:space="preserve"> </w:t>
      </w:r>
      <w:r>
        <w:t xml:space="preserve">– entrega ao tribunal de cópias autenticadas de:</w:t>
      </w:r>
    </w:p>
    <w:p>
      <w:pPr>
        <w:pStyle w:val="Compact"/>
        <w:numPr>
          <w:ilvl w:val="1"/>
          <w:numId w:val="1002"/>
        </w:numPr>
      </w:pPr>
      <w:r>
        <w:t xml:space="preserve">Contrato de arrendamento e adenda;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Recibos de pagamento (ou a falta deles);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Carta de notificação de caducidade;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Orçamentos e faturas das obras realizadas sem autorização.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Provas testemunhais</w:t>
      </w:r>
      <w:r>
        <w:t xml:space="preserve"> </w:t>
      </w:r>
      <w:r>
        <w:t xml:space="preserve">– arrolamento de:</w:t>
      </w:r>
    </w:p>
    <w:p>
      <w:pPr>
        <w:pStyle w:val="Compact"/>
        <w:numPr>
          <w:ilvl w:val="1"/>
          <w:numId w:val="1003"/>
        </w:numPr>
      </w:pPr>
      <w:r>
        <w:t xml:space="preserve">Sr. Pedro Almeida (gerente da empresa arrendadora) – factos contratuais;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Eng. Rita Costa (responsável pela inspeção das obras) – avaliação dos danos.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Perícia técnica</w:t>
      </w:r>
      <w:r>
        <w:t xml:space="preserve"> </w:t>
      </w:r>
      <w:r>
        <w:t xml:space="preserve">– solicitação de perito judicial para validar o custo das obras e eventual deterioração do imóvel.</w:t>
      </w:r>
    </w:p>
    <w:bookmarkEnd w:id="13"/>
    <w:bookmarkStart w:id="14" w:name="X37296e4d4dcbf1dacb9ea3488ba558b1c6afb18"/>
    <w:p>
      <w:pPr>
        <w:pStyle w:val="Heading4"/>
      </w:pPr>
      <w:r>
        <w:t xml:space="preserve">4.3 Fase III – Audiência de Instrução e Julgamento (junho – julho de 2024)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11"/>
        <w:gridCol w:w="2731"/>
        <w:gridCol w:w="327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Etapa</w:t>
            </w:r>
          </w:p>
        </w:tc>
        <w:tc>
          <w:tcPr/>
          <w:p>
            <w:pPr>
              <w:pStyle w:val="Compact"/>
            </w:pPr>
            <w:r>
              <w:t xml:space="preserve">Objetivo</w:t>
            </w:r>
          </w:p>
        </w:tc>
        <w:tc>
          <w:tcPr/>
          <w:p>
            <w:pPr>
              <w:pStyle w:val="Compact"/>
            </w:pPr>
            <w:r>
              <w:t xml:space="preserve">Estratégia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Contestação do réu</w:t>
            </w:r>
          </w:p>
        </w:tc>
        <w:tc>
          <w:tcPr/>
          <w:p>
            <w:pPr>
              <w:pStyle w:val="Compact"/>
            </w:pPr>
            <w:r>
              <w:t xml:space="preserve">Identificar argumentos de defesa (ex.: alegação de pagamento parcial)</w:t>
            </w:r>
          </w:p>
        </w:tc>
        <w:tc>
          <w:tcPr/>
          <w:p>
            <w:pPr>
              <w:pStyle w:val="Compact"/>
            </w:pPr>
            <w:r>
              <w:t xml:space="preserve">Preparar réplica focada na inexistência de comprovativos de pagamento e na validade da notificação de caducidade.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Produção de prova oral</w:t>
            </w:r>
          </w:p>
        </w:tc>
        <w:tc>
          <w:tcPr/>
          <w:p>
            <w:pPr>
              <w:pStyle w:val="Compact"/>
            </w:pPr>
            <w:r>
              <w:t xml:space="preserve">Ouvir testemunhas e perito</w:t>
            </w:r>
          </w:p>
        </w:tc>
        <w:tc>
          <w:tcPr/>
          <w:p>
            <w:pPr>
              <w:pStyle w:val="Compact"/>
            </w:pPr>
            <w:r>
              <w:t xml:space="preserve">Conduzir interrogatório que destaque a ausência de autorização prévia para as obras e a necessidade de restituição dos valores.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Pedido de medida cautelar de despejo</w:t>
            </w:r>
          </w:p>
        </w:tc>
        <w:tc>
          <w:tcPr/>
          <w:p>
            <w:pPr>
              <w:pStyle w:val="Compact"/>
            </w:pPr>
            <w:r>
              <w:t xml:space="preserve">Garantir desocupação antes da sentença</w:t>
            </w:r>
          </w:p>
        </w:tc>
        <w:tc>
          <w:tcPr/>
          <w:p>
            <w:pPr>
              <w:pStyle w:val="Compact"/>
            </w:pPr>
            <w:r>
              <w:t xml:space="preserve">Requerer tutela de urgência com base no risco de deterioração do imóvel e na impossibilidade de uso pelo senhorio.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Sentença</w:t>
            </w:r>
          </w:p>
        </w:tc>
        <w:tc>
          <w:tcPr/>
          <w:p>
            <w:pPr>
              <w:pStyle w:val="Compact"/>
            </w:pPr>
            <w:r>
              <w:t xml:space="preserve">Obter condenação total (despejo, pagamento de rendas + juros, indemnização, custas)</w:t>
            </w:r>
          </w:p>
        </w:tc>
        <w:tc>
          <w:tcPr/>
          <w:p>
            <w:pPr>
              <w:pStyle w:val="Compact"/>
            </w:pPr>
            <w:r>
              <w:t xml:space="preserve">Argumentar de forma sintética, recorrentemente ao art.º 1073.º e art.º 1085.º do CPC.</w:t>
            </w:r>
          </w:p>
        </w:tc>
      </w:tr>
    </w:tbl>
    <w:bookmarkEnd w:id="14"/>
    <w:bookmarkStart w:id="15" w:name="X3f664475a807e66e3e1f892d250161dedb65675"/>
    <w:p>
      <w:pPr>
        <w:pStyle w:val="Heading4"/>
      </w:pPr>
      <w:r>
        <w:t xml:space="preserve">4.4 Fase IV – Execução da Sentença (outubro – dezembro de 2024)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Despejo efetivo</w:t>
      </w:r>
      <w:r>
        <w:t xml:space="preserve"> </w:t>
      </w:r>
      <w:r>
        <w:t xml:space="preserve">– solicitação de mandado de despejo ao Ministério Público – Polícia Judicial, caso o réu não desocupe voluntariamente.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Cobrança de quantia</w:t>
      </w:r>
      <w:r>
        <w:t xml:space="preserve"> </w:t>
      </w:r>
      <w:r>
        <w:t xml:space="preserve">– inscrição da dívida em dívida ativa e execução por penhor de bens (conta bancária, veículos).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Recuperação de obras</w:t>
      </w:r>
      <w:r>
        <w:t xml:space="preserve"> </w:t>
      </w:r>
      <w:r>
        <w:t xml:space="preserve">– ação executiva contra o réu para reaver o valor das obras não autorizadas.</w:t>
      </w:r>
    </w:p>
    <w:bookmarkEnd w:id="15"/>
    <w:bookmarkStart w:id="16" w:name="fase-v-avaliação-de-acordo-opcional"/>
    <w:p>
      <w:pPr>
        <w:pStyle w:val="Heading4"/>
      </w:pPr>
      <w:r>
        <w:t xml:space="preserve">4.5 Fase V – Avaliação de Acordo (opcional)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Negociação de pagamento parcelado</w:t>
      </w:r>
      <w:r>
        <w:t xml:space="preserve"> </w:t>
      </w:r>
      <w:r>
        <w:t xml:space="preserve">– proposta de plano de pagamento em 12 prestações mensais, com juros de 2 % ao ano, como alternativa ao prosseguimento da execução.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Cláusula de renúncia de futuros arrendamentos</w:t>
      </w:r>
      <w:r>
        <w:t xml:space="preserve"> </w:t>
      </w:r>
      <w:r>
        <w:t xml:space="preserve">– incluir no acordo a cláusula de que o réu não poderá arrendar novamente o mesmo imóvel ou outro da empresa durante 5 anos.</w:t>
      </w:r>
    </w:p>
    <w:p>
      <w:r>
        <w:pict>
          <v:rect style="width:0;height:1.5pt" o:hralign="center" o:hrstd="t" o:hr="t"/>
        </w:pict>
      </w:r>
    </w:p>
    <w:bookmarkEnd w:id="16"/>
    <w:bookmarkEnd w:id="17"/>
    <w:bookmarkStart w:id="18" w:name="riscos-identificados-e-mitigações"/>
    <w:p>
      <w:pPr>
        <w:pStyle w:val="Heading3"/>
      </w:pPr>
      <w:r>
        <w:t xml:space="preserve">5. Riscos Identificados e Mitigações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352"/>
        <w:gridCol w:w="2897"/>
        <w:gridCol w:w="1545"/>
        <w:gridCol w:w="212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Risco</w:t>
            </w:r>
          </w:p>
        </w:tc>
        <w:tc>
          <w:tcPr/>
          <w:p>
            <w:pPr>
              <w:pStyle w:val="Compact"/>
            </w:pPr>
            <w:r>
              <w:t xml:space="preserve">Probabilidade</w:t>
            </w:r>
          </w:p>
        </w:tc>
        <w:tc>
          <w:tcPr/>
          <w:p>
            <w:pPr>
              <w:pStyle w:val="Compact"/>
            </w:pPr>
            <w:r>
              <w:t xml:space="preserve">Impacto</w:t>
            </w:r>
          </w:p>
        </w:tc>
        <w:tc>
          <w:tcPr/>
          <w:p>
            <w:pPr>
              <w:pStyle w:val="Compact"/>
            </w:pPr>
            <w:r>
              <w:t xml:space="preserve">Mitigação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Contestação de validade da notificação de caducidade</w:t>
            </w:r>
          </w:p>
        </w:tc>
        <w:tc>
          <w:tcPr/>
          <w:p>
            <w:pPr>
              <w:pStyle w:val="Compact"/>
            </w:pPr>
            <w:r>
              <w:t xml:space="preserve">Média</w:t>
            </w:r>
          </w:p>
        </w:tc>
        <w:tc>
          <w:tcPr/>
          <w:p>
            <w:pPr>
              <w:pStyle w:val="Compact"/>
            </w:pPr>
            <w:r>
              <w:t xml:space="preserve">Alto</w:t>
            </w:r>
          </w:p>
        </w:tc>
        <w:tc>
          <w:tcPr/>
          <w:p>
            <w:pPr>
              <w:pStyle w:val="Compact"/>
            </w:pPr>
            <w:r>
              <w:t xml:space="preserve">Garantir cópia autenticada da carta registada e comprovativo de entrega (AR).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Recurso a tribunal de segunda instância</w:t>
            </w:r>
          </w:p>
        </w:tc>
        <w:tc>
          <w:tcPr/>
          <w:p>
            <w:pPr>
              <w:pStyle w:val="Compact"/>
            </w:pPr>
            <w:r>
              <w:t xml:space="preserve">Baixa</w:t>
            </w:r>
          </w:p>
        </w:tc>
        <w:tc>
          <w:tcPr/>
          <w:p>
            <w:pPr>
              <w:pStyle w:val="Compact"/>
            </w:pPr>
            <w:r>
              <w:t xml:space="preserve">Médio</w:t>
            </w:r>
          </w:p>
        </w:tc>
        <w:tc>
          <w:tcPr/>
          <w:p>
            <w:pPr>
              <w:pStyle w:val="Compact"/>
            </w:pPr>
            <w:r>
              <w:t xml:space="preserve">Preparar memorando de recursos com precedentes jurisprudenciais (TJ Lisboa, Acórdão 123/21.5T8LSB).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Inexistência de bens penhoráveis do réu</w:t>
            </w:r>
          </w:p>
        </w:tc>
        <w:tc>
          <w:tcPr/>
          <w:p>
            <w:pPr>
              <w:pStyle w:val="Compact"/>
            </w:pPr>
            <w:r>
              <w:t xml:space="preserve">Média</w:t>
            </w:r>
          </w:p>
        </w:tc>
        <w:tc>
          <w:tcPr/>
          <w:p>
            <w:pPr>
              <w:pStyle w:val="Compact"/>
            </w:pPr>
            <w:r>
              <w:t xml:space="preserve">Alto</w:t>
            </w:r>
          </w:p>
        </w:tc>
        <w:tc>
          <w:tcPr/>
          <w:p>
            <w:pPr>
              <w:pStyle w:val="Compact"/>
            </w:pPr>
            <w:r>
              <w:t xml:space="preserve">Identificar previamente bens (automóvel – matrícula 45‑AB‑12, conta bancária – Banco BPI) para futura penhora.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Dificuldade de obtenção de perícia</w:t>
            </w:r>
          </w:p>
        </w:tc>
        <w:tc>
          <w:tcPr/>
          <w:p>
            <w:pPr>
              <w:pStyle w:val="Compact"/>
            </w:pPr>
            <w:r>
              <w:t xml:space="preserve">Baixa</w:t>
            </w:r>
          </w:p>
        </w:tc>
        <w:tc>
          <w:tcPr/>
          <w:p>
            <w:pPr>
              <w:pStyle w:val="Compact"/>
            </w:pPr>
            <w:r>
              <w:t xml:space="preserve">Baixo</w:t>
            </w:r>
          </w:p>
        </w:tc>
        <w:tc>
          <w:tcPr/>
          <w:p>
            <w:pPr>
              <w:pStyle w:val="Compact"/>
            </w:pPr>
            <w:r>
              <w:t xml:space="preserve">Contratar perito independente com experiência em obras comerciais.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8"/>
    <w:bookmarkStart w:id="19" w:name="orçamento-de-honorários-e-custas"/>
    <w:p>
      <w:pPr>
        <w:pStyle w:val="Heading3"/>
      </w:pPr>
      <w:r>
        <w:t xml:space="preserve">6. Orçamento de Honorários e Custas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2904"/>
        <w:gridCol w:w="343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Item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  <w:tc>
          <w:tcPr/>
          <w:p>
            <w:pPr>
              <w:pStyle w:val="Compact"/>
            </w:pPr>
            <w:r>
              <w:t xml:space="preserve">Observações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Honorários advocatícios (fase I‑III)</w:t>
            </w:r>
          </w:p>
        </w:tc>
        <w:tc>
          <w:tcPr/>
          <w:p>
            <w:pPr>
              <w:pStyle w:val="Compact"/>
            </w:pPr>
            <w:r>
              <w:t xml:space="preserve">9 800,00</w:t>
            </w:r>
          </w:p>
        </w:tc>
        <w:tc>
          <w:tcPr/>
          <w:p>
            <w:pPr>
              <w:pStyle w:val="Compact"/>
            </w:pPr>
            <w:r>
              <w:t xml:space="preserve">30 % sobre o valor da dívida principal (36 000 €).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Honorários advocatícios (fase IV‑V)</w:t>
            </w:r>
          </w:p>
        </w:tc>
        <w:tc>
          <w:tcPr/>
          <w:p>
            <w:pPr>
              <w:pStyle w:val="Compact"/>
            </w:pPr>
            <w:r>
              <w:t xml:space="preserve">4 200,00</w:t>
            </w:r>
          </w:p>
        </w:tc>
        <w:tc>
          <w:tcPr/>
          <w:p>
            <w:pPr>
              <w:pStyle w:val="Compact"/>
            </w:pPr>
            <w:r>
              <w:t xml:space="preserve">10 % sobre o valor executado.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Custas judiciais (taxas, registo, notificação)</w:t>
            </w:r>
          </w:p>
        </w:tc>
        <w:tc>
          <w:tcPr/>
          <w:p>
            <w:pPr>
              <w:pStyle w:val="Compact"/>
            </w:pPr>
            <w:r>
              <w:t xml:space="preserve">1 250,00</w:t>
            </w:r>
          </w:p>
        </w:tc>
        <w:tc>
          <w:tcPr/>
          <w:p>
            <w:pPr>
              <w:pStyle w:val="Compact"/>
            </w:pPr>
            <w:r>
              <w:t xml:space="preserve">Conforme tabela de custas da Justiça.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Peritagem técnica</w:t>
            </w:r>
          </w:p>
        </w:tc>
        <w:tc>
          <w:tcPr/>
          <w:p>
            <w:pPr>
              <w:pStyle w:val="Compact"/>
            </w:pPr>
            <w:r>
              <w:t xml:space="preserve">2 300,00</w:t>
            </w:r>
          </w:p>
        </w:tc>
        <w:tc>
          <w:tcPr/>
          <w:p>
            <w:pPr>
              <w:pStyle w:val="Compact"/>
            </w:pPr>
            <w:r>
              <w:t xml:space="preserve">Perito independente – taxa fixa.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Despesas de deslocação e correio</w:t>
            </w:r>
          </w:p>
        </w:tc>
        <w:tc>
          <w:tcPr/>
          <w:p>
            <w:pPr>
              <w:pStyle w:val="Compact"/>
            </w:pPr>
            <w:r>
              <w:t xml:space="preserve">450,00</w:t>
            </w:r>
          </w:p>
        </w:tc>
        <w:tc>
          <w:tcPr/>
          <w:p>
            <w:pPr>
              <w:pStyle w:val="Compact"/>
            </w:pPr>
            <w:r>
              <w:t xml:space="preserve">Viagens a Lisboa e Coimbra.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 ESTIMADO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18 000,00</w:t>
            </w:r>
          </w:p>
        </w:tc>
        <w:tc>
          <w:tcPr/>
          <w:p>
            <w:pPr>
              <w:pStyle w:val="Compact"/>
            </w:pPr>
            <w:r>
              <w:t xml:space="preserve">A ser incluído na pretensão de condenação ao réu.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9"/>
    <w:bookmarkStart w:id="20" w:name="responsabilidades-internas"/>
    <w:p>
      <w:pPr>
        <w:pStyle w:val="Heading3"/>
      </w:pPr>
      <w:r>
        <w:t xml:space="preserve">7. Responsabilidades Internas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638"/>
        <w:gridCol w:w="3550"/>
        <w:gridCol w:w="2731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Área</w:t>
            </w:r>
          </w:p>
        </w:tc>
        <w:tc>
          <w:tcPr/>
          <w:p>
            <w:pPr>
              <w:pStyle w:val="Compact"/>
            </w:pPr>
            <w:r>
              <w:t xml:space="preserve">Responsável</w:t>
            </w:r>
          </w:p>
        </w:tc>
        <w:tc>
          <w:tcPr/>
          <w:p>
            <w:pPr>
              <w:pStyle w:val="Compact"/>
            </w:pPr>
            <w:r>
              <w:t xml:space="preserve">Contacto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Direção de Litígios</w:t>
            </w:r>
          </w:p>
        </w:tc>
        <w:tc>
          <w:tcPr/>
          <w:p>
            <w:pPr>
              <w:pStyle w:val="Compact"/>
            </w:pPr>
            <w:r>
              <w:t xml:space="preserve">Dr. Ana Martins</w:t>
            </w:r>
          </w:p>
        </w:tc>
        <w:tc>
          <w:tcPr/>
          <w:p>
            <w:pPr>
              <w:pStyle w:val="Compact"/>
            </w:pPr>
            <w:r>
              <w:t xml:space="preserve">ana.martins@arrendamento.pt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Coordenação Processual</w:t>
            </w:r>
          </w:p>
        </w:tc>
        <w:tc>
          <w:tcPr/>
          <w:p>
            <w:pPr>
              <w:pStyle w:val="Compact"/>
            </w:pPr>
            <w:r>
              <w:t xml:space="preserve">Dr. Luís Pereira</w:t>
            </w:r>
          </w:p>
        </w:tc>
        <w:tc>
          <w:tcPr/>
          <w:p>
            <w:pPr>
              <w:pStyle w:val="Compact"/>
            </w:pPr>
            <w:r>
              <w:t xml:space="preserve">luís.pereira@arrendamento.pt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Assistência Jurídica</w:t>
            </w:r>
          </w:p>
        </w:tc>
        <w:tc>
          <w:tcPr/>
          <w:p>
            <w:pPr>
              <w:pStyle w:val="Compact"/>
            </w:pPr>
            <w:r>
              <w:t xml:space="preserve">M. Santos (Assistente Jurídico)</w:t>
            </w:r>
          </w:p>
        </w:tc>
        <w:tc>
          <w:tcPr/>
          <w:p>
            <w:pPr>
              <w:pStyle w:val="Compact"/>
            </w:pPr>
            <w:r>
              <w:t xml:space="preserve">msantos@arrendamento.pt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Financeiro</w:t>
            </w:r>
          </w:p>
        </w:tc>
        <w:tc>
          <w:tcPr/>
          <w:p>
            <w:pPr>
              <w:pStyle w:val="Compact"/>
            </w:pPr>
            <w:r>
              <w:t xml:space="preserve">S. Ribeiro (Contabilidade)</w:t>
            </w:r>
          </w:p>
        </w:tc>
        <w:tc>
          <w:tcPr/>
          <w:p>
            <w:pPr>
              <w:pStyle w:val="Compact"/>
            </w:pPr>
            <w:r>
              <w:t xml:space="preserve">sribeiro@arrendamento.pt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Peritagem</w:t>
            </w:r>
          </w:p>
        </w:tc>
        <w:tc>
          <w:tcPr/>
          <w:p>
            <w:pPr>
              <w:pStyle w:val="Compact"/>
            </w:pPr>
            <w:r>
              <w:t xml:space="preserve">Eng. Rita Costa (Perita)</w:t>
            </w:r>
          </w:p>
        </w:tc>
        <w:tc>
          <w:tcPr/>
          <w:p>
            <w:pPr>
              <w:pStyle w:val="Compact"/>
            </w:pPr>
            <w:r>
              <w:t xml:space="preserve">rita.costa@consultoria.pt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0"/>
    <w:bookmarkStart w:id="21" w:name="cronograma-proposto"/>
    <w:p>
      <w:pPr>
        <w:pStyle w:val="Heading3"/>
      </w:pPr>
      <w:r>
        <w:t xml:space="preserve">8. Cronograma Proposto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Atividade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 março 2024</w:t>
            </w:r>
          </w:p>
        </w:tc>
        <w:tc>
          <w:tcPr/>
          <w:p>
            <w:pPr>
              <w:pStyle w:val="Compact"/>
            </w:pPr>
            <w:r>
              <w:t xml:space="preserve">Aprovação da estratégia pela Direção.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 março 2024</w:t>
            </w:r>
          </w:p>
        </w:tc>
        <w:tc>
          <w:tcPr/>
          <w:p>
            <w:pPr>
              <w:pStyle w:val="Compact"/>
            </w:pPr>
            <w:r>
              <w:t xml:space="preserve">Protocolo da petição inicial.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 abril 2024</w:t>
            </w:r>
          </w:p>
        </w:tc>
        <w:tc>
          <w:tcPr/>
          <w:p>
            <w:pPr>
              <w:pStyle w:val="Compact"/>
            </w:pPr>
            <w:r>
              <w:t xml:space="preserve">Receção da contestação do réu.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 abril 2024</w:t>
            </w:r>
          </w:p>
        </w:tc>
        <w:tc>
          <w:tcPr/>
          <w:p>
            <w:pPr>
              <w:pStyle w:val="Compact"/>
            </w:pPr>
            <w:r>
              <w:t xml:space="preserve">Submissão de documentos complementares.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 maio 2024</w:t>
            </w:r>
          </w:p>
        </w:tc>
        <w:tc>
          <w:tcPr/>
          <w:p>
            <w:pPr>
              <w:pStyle w:val="Compact"/>
            </w:pPr>
            <w:r>
              <w:t xml:space="preserve">Arrolamento de testemunhas e pedido de perícia.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 junho 2024</w:t>
            </w:r>
          </w:p>
        </w:tc>
        <w:tc>
          <w:tcPr/>
          <w:p>
            <w:pPr>
              <w:pStyle w:val="Compact"/>
            </w:pPr>
            <w:r>
              <w:t xml:space="preserve">Audiência de instrução.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 junho 2024</w:t>
            </w:r>
          </w:p>
        </w:tc>
        <w:tc>
          <w:tcPr/>
          <w:p>
            <w:pPr>
              <w:pStyle w:val="Compact"/>
            </w:pPr>
            <w:r>
              <w:t xml:space="preserve">Sentença.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 outubro 2024</w:t>
            </w:r>
          </w:p>
        </w:tc>
        <w:tc>
          <w:tcPr/>
          <w:p>
            <w:pPr>
              <w:pStyle w:val="Compact"/>
            </w:pPr>
            <w:r>
              <w:t xml:space="preserve">Emissão de mandado de despejo (se necessário).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 dezembro 2024</w:t>
            </w:r>
          </w:p>
        </w:tc>
        <w:tc>
          <w:tcPr/>
          <w:p>
            <w:pPr>
              <w:pStyle w:val="Compact"/>
            </w:pPr>
            <w:r>
              <w:t xml:space="preserve">Conclusão da fase de execução e cobrança.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1"/>
    <w:bookmarkStart w:id="22" w:name="conclusão"/>
    <w:p>
      <w:pPr>
        <w:pStyle w:val="Heading3"/>
      </w:pPr>
      <w:r>
        <w:t xml:space="preserve">9. Conclusão</w:t>
      </w:r>
    </w:p>
    <w:p>
      <w:pPr>
        <w:pStyle w:val="FirstParagraph"/>
      </w:pPr>
      <w:r>
        <w:t xml:space="preserve">A presente estratégia visa</w:t>
      </w:r>
      <w:r>
        <w:t xml:space="preserve"> </w:t>
      </w:r>
      <w:r>
        <w:rPr>
          <w:b/>
          <w:bCs/>
        </w:rPr>
        <w:t xml:space="preserve">maximizar a probabilidade de sucesso</w:t>
      </w:r>
      <w:r>
        <w:t xml:space="preserve"> </w:t>
      </w:r>
      <w:r>
        <w:t xml:space="preserve">na obtenção da resolução do contrato, despejo do réu, e recuperação integral das quantias em dívida, bem como a indemnização pelos danos causados pelas obras não autorizadas. A abordagem combina</w:t>
      </w:r>
      <w:r>
        <w:t xml:space="preserve"> </w:t>
      </w:r>
      <w:r>
        <w:rPr>
          <w:b/>
          <w:bCs/>
        </w:rPr>
        <w:t xml:space="preserve">medidas cautelares</w:t>
      </w:r>
      <w:r>
        <w:t xml:space="preserve"> </w:t>
      </w:r>
      <w:r>
        <w:t xml:space="preserve">(despejo urgente),</w:t>
      </w:r>
      <w:r>
        <w:t xml:space="preserve"> </w:t>
      </w:r>
      <w:r>
        <w:rPr>
          <w:b/>
          <w:bCs/>
        </w:rPr>
        <w:t xml:space="preserve">produção robusta de provas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possibilidade de acordo</w:t>
      </w:r>
      <w:r>
        <w:t xml:space="preserve"> </w:t>
      </w:r>
      <w:r>
        <w:t xml:space="preserve">que pode reduzir custos e tempo de litígio, mantendo, porém, a firmeza necessária para salvaguardar os direitos patrimoniais da Empresa de Arrendamento Comercial, Lda.</w:t>
      </w:r>
    </w:p>
    <w:p>
      <w:pPr>
        <w:pStyle w:val="BodyText"/>
      </w:pPr>
      <w:r>
        <w:rPr>
          <w:i/>
          <w:iCs/>
        </w:rPr>
        <w:t xml:space="preserve">Preparado por:</w:t>
      </w:r>
      <w:r>
        <w:br/>
      </w:r>
      <w:r>
        <w:rPr>
          <w:b/>
          <w:bCs/>
        </w:rPr>
        <w:t xml:space="preserve">Dr. Ana Martins</w:t>
      </w:r>
      <w:r>
        <w:t xml:space="preserve"> </w:t>
      </w:r>
      <w:r>
        <w:t xml:space="preserve">– Sócia‑Fundadora</w:t>
      </w:r>
      <w:r>
        <w:br/>
      </w:r>
      <w:r>
        <w:rPr>
          <w:b/>
          <w:bCs/>
        </w:rPr>
        <w:t xml:space="preserve">Dr. Luís Pereira</w:t>
      </w:r>
      <w:r>
        <w:t xml:space="preserve"> </w:t>
      </w:r>
      <w:r>
        <w:t xml:space="preserve">– Sócio‑Júnior</w:t>
      </w:r>
    </w:p>
    <w:p>
      <w:pPr>
        <w:pStyle w:val="BodyText"/>
      </w:pPr>
      <w:r>
        <w:rPr>
          <w:i/>
          <w:iCs/>
        </w:rPr>
        <w:t xml:space="preserve">Data:</w:t>
      </w:r>
      <w:r>
        <w:t xml:space="preserve"> </w:t>
      </w:r>
      <w:r>
        <w:t xml:space="preserve">15 de março de 2024.</w:t>
      </w:r>
    </w:p>
    <w:bookmarkEnd w:id="22"/>
    <w:bookmarkEnd w:id="2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